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F24FF">
      <w:pPr>
        <w:spacing w:before="480" w:after="480" w:line="288" w:lineRule="auto"/>
        <w:ind w:left="0"/>
      </w:pPr>
      <w:r>
        <w:rPr>
          <w:rFonts w:ascii="Arial" w:hAnsi="Arial" w:eastAsia="等线" w:cs="Arial"/>
          <w:b/>
          <w:sz w:val="52"/>
        </w:rPr>
        <w:t>General Practice Diagnostic Reasoning Scale (G-DRS)</w:t>
      </w:r>
    </w:p>
    <w:p w14:paraId="58542702">
      <w:pPr>
        <w:spacing w:before="120" w:after="120" w:line="288" w:lineRule="auto"/>
        <w:ind w:left="0"/>
        <w:jc w:val="left"/>
      </w:pPr>
      <w:r>
        <w:rPr>
          <w:rFonts w:ascii="Arial" w:hAnsi="Arial" w:eastAsia="等线" w:cs="Arial"/>
          <w:b/>
          <w:sz w:val="22"/>
        </w:rPr>
        <w:t>Applicable Objects</w:t>
      </w:r>
      <w:r>
        <w:rPr>
          <w:rFonts w:ascii="Arial" w:hAnsi="Arial" w:eastAsia="等线" w:cs="Arial"/>
          <w:sz w:val="22"/>
        </w:rPr>
        <w:t>: Standardized training residents in general practice, primary care general practitioners (used to evaluate their general practice clinical reasoning ability)</w:t>
      </w:r>
    </w:p>
    <w:p w14:paraId="3656A6DE">
      <w:pPr>
        <w:spacing w:before="120" w:after="120" w:line="288" w:lineRule="auto"/>
        <w:ind w:left="0"/>
        <w:jc w:val="left"/>
      </w:pPr>
      <w:r>
        <w:rPr>
          <w:rFonts w:ascii="Arial" w:hAnsi="Arial" w:eastAsia="等线" w:cs="Arial"/>
          <w:b/>
          <w:sz w:val="22"/>
        </w:rPr>
        <w:t>Scoring Instructions</w:t>
      </w:r>
      <w:r>
        <w:rPr>
          <w:rFonts w:ascii="Arial" w:hAnsi="Arial" w:eastAsia="等线" w:cs="Arial"/>
          <w:sz w:val="22"/>
        </w:rPr>
        <w:t>: This scale is revised based on the specialist DRS scale, combined with the characteristics of general practice such as "continuity, comprehensiveness, and community orientation". It includes 5 core dimensions with a total score of 30 points. The scoring adopts a hierarchical system, with 0-6 points for each dimension. The higher the score, the stronger the general practice clinical reasoning ability; the scoring shall be objectively determined based on the actual performance of the evaluated person, such as the case analysis process, expression of diagnostic thinking, and formulation of treatment plans.</w:t>
      </w:r>
    </w:p>
    <w:p w14:paraId="306D51E9">
      <w:pPr>
        <w:spacing w:before="120" w:after="120" w:line="288" w:lineRule="auto"/>
        <w:ind w:left="0"/>
        <w:jc w:val="left"/>
      </w:pPr>
      <w:r>
        <w:rPr>
          <w:rFonts w:ascii="Arial" w:hAnsi="Arial" w:eastAsia="等线" w:cs="Arial"/>
          <w:b/>
          <w:sz w:val="22"/>
        </w:rPr>
        <w:t>Definition of Scoring Levels</w:t>
      </w:r>
      <w:r>
        <w:rPr>
          <w:rFonts w:ascii="Arial" w:hAnsi="Arial" w:eastAsia="等线" w:cs="Arial"/>
          <w:sz w:val="22"/>
        </w:rPr>
        <w:t>: 0-2 points (Poor): Failure to meet basic requirements, confused reasoning logic, and serious omissions; 3-4 points (Average): Basically meeting requirements, basically clear reasoning logic, and a small number of omissions; 5-6 points (Excellent): Fully meeting requirements, rigorous reasoning logic, consistent with general practice clinical reality, and comprehensive consideration.</w:t>
      </w:r>
    </w:p>
    <w:tbl>
      <w:tblPr>
        <w:tblStyle w:val="2"/>
        <w:tblW w:w="8520" w:type="dxa"/>
        <w:jc w:val="center"/>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autofit"/>
        <w:tblCellMar>
          <w:top w:w="0" w:type="dxa"/>
          <w:left w:w="10" w:type="dxa"/>
          <w:bottom w:w="0" w:type="dxa"/>
          <w:right w:w="10" w:type="dxa"/>
        </w:tblCellMar>
      </w:tblPr>
      <w:tblGrid>
        <w:gridCol w:w="2733"/>
        <w:gridCol w:w="3287"/>
        <w:gridCol w:w="852"/>
        <w:gridCol w:w="1648"/>
      </w:tblGrid>
      <w:tr w14:paraId="0F00F70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tblHeader/>
          <w:jc w:val="center"/>
        </w:trPr>
        <w:tc>
          <w:tcPr>
            <w:tcW w:w="2734" w:type="dxa"/>
            <w:tcBorders>
              <w:top w:val="single" w:color="auto" w:sz="4" w:space="0"/>
              <w:bottom w:val="single" w:color="auto" w:sz="4" w:space="0"/>
            </w:tcBorders>
            <w:tcMar>
              <w:top w:w="60" w:type="dxa"/>
              <w:left w:w="120" w:type="dxa"/>
              <w:bottom w:w="30" w:type="dxa"/>
              <w:right w:w="120" w:type="dxa"/>
            </w:tcMar>
            <w:vAlign w:val="center"/>
          </w:tcPr>
          <w:p w14:paraId="06AAF8AD">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Evaluation Dimensions</w:t>
            </w:r>
          </w:p>
        </w:tc>
        <w:tc>
          <w:tcPr>
            <w:tcW w:w="3289" w:type="dxa"/>
            <w:tcBorders>
              <w:top w:val="single" w:color="auto" w:sz="4" w:space="0"/>
              <w:bottom w:val="single" w:color="auto" w:sz="4" w:space="0"/>
            </w:tcBorders>
            <w:tcMar>
              <w:top w:w="60" w:type="dxa"/>
              <w:left w:w="120" w:type="dxa"/>
              <w:bottom w:w="30" w:type="dxa"/>
              <w:right w:w="120" w:type="dxa"/>
            </w:tcMar>
            <w:vAlign w:val="center"/>
          </w:tcPr>
          <w:p w14:paraId="77A1BCDF">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Scoring Standards (0-6 points)</w:t>
            </w:r>
          </w:p>
        </w:tc>
        <w:tc>
          <w:tcPr>
            <w:tcW w:w="850" w:type="dxa"/>
            <w:tcBorders>
              <w:top w:val="single" w:color="auto" w:sz="4" w:space="0"/>
              <w:bottom w:val="single" w:color="auto" w:sz="4" w:space="0"/>
            </w:tcBorders>
            <w:tcMar>
              <w:top w:w="60" w:type="dxa"/>
              <w:left w:w="120" w:type="dxa"/>
              <w:bottom w:w="30" w:type="dxa"/>
              <w:right w:w="120" w:type="dxa"/>
            </w:tcMar>
            <w:vAlign w:val="center"/>
          </w:tcPr>
          <w:p w14:paraId="47991B4C">
            <w:pPr>
              <w:snapToGrid w:val="0"/>
              <w:spacing w:before="120" w:after="120" w:line="240" w:lineRule="auto"/>
              <w:ind w:left="0" w:leftChars="0" w:right="0" w:rightChars="0" w:firstLine="0" w:firstLineChars="0"/>
              <w:jc w:val="center"/>
              <w:rPr>
                <w:rFonts w:ascii="Arial" w:hAnsi="Arial" w:eastAsia="等线" w:cs="Arial"/>
                <w:b/>
                <w:sz w:val="22"/>
              </w:rPr>
            </w:pPr>
            <w:r>
              <w:rPr>
                <w:rFonts w:ascii="Arial" w:hAnsi="Arial" w:eastAsia="等线" w:cs="Arial"/>
                <w:b/>
                <w:sz w:val="22"/>
              </w:rPr>
              <w:t xml:space="preserve">Score </w:t>
            </w:r>
          </w:p>
          <w:p w14:paraId="2DE696DA">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(0-6)</w:t>
            </w:r>
          </w:p>
        </w:tc>
        <w:tc>
          <w:tcPr>
            <w:tcW w:w="1648" w:type="dxa"/>
            <w:tcBorders>
              <w:top w:val="single" w:color="auto" w:sz="4" w:space="0"/>
              <w:bottom w:val="single" w:color="auto" w:sz="4" w:space="0"/>
            </w:tcBorders>
            <w:tcMar>
              <w:top w:w="60" w:type="dxa"/>
              <w:left w:w="120" w:type="dxa"/>
              <w:bottom w:w="30" w:type="dxa"/>
              <w:right w:w="120" w:type="dxa"/>
            </w:tcMar>
            <w:vAlign w:val="center"/>
          </w:tcPr>
          <w:p w14:paraId="0C7E6F02">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Remarks (Specific performance can be recorded)</w:t>
            </w:r>
          </w:p>
        </w:tc>
      </w:tr>
      <w:tr w14:paraId="082F06F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734" w:type="dxa"/>
            <w:tcBorders>
              <w:top w:val="single" w:color="auto" w:sz="4" w:space="0"/>
            </w:tcBorders>
            <w:tcMar>
              <w:top w:w="60" w:type="dxa"/>
              <w:left w:w="120" w:type="dxa"/>
              <w:bottom w:w="30" w:type="dxa"/>
              <w:right w:w="120" w:type="dxa"/>
            </w:tcMar>
            <w:vAlign w:val="center"/>
          </w:tcPr>
          <w:p w14:paraId="48825B27">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 Case Analysis (6 points)</w:t>
            </w:r>
            <w:r>
              <w:rPr>
                <w:rFonts w:ascii="Arial" w:hAnsi="Arial" w:eastAsia="等线" w:cs="Arial"/>
                <w:sz w:val="22"/>
              </w:rPr>
              <w:t xml:space="preserve"> (Core: Identification of common and chronic diseases in general practice, pertinence of medical history collection and physical examination)</w:t>
            </w:r>
          </w:p>
        </w:tc>
        <w:tc>
          <w:tcPr>
            <w:tcW w:w="3289" w:type="dxa"/>
            <w:tcBorders>
              <w:top w:val="single" w:color="auto" w:sz="4" w:space="0"/>
            </w:tcBorders>
            <w:tcMar>
              <w:top w:w="60" w:type="dxa"/>
              <w:left w:w="120" w:type="dxa"/>
              <w:bottom w:w="30" w:type="dxa"/>
              <w:right w:w="120" w:type="dxa"/>
            </w:tcMar>
            <w:vAlign w:val="center"/>
          </w:tcPr>
          <w:p w14:paraId="60C691FA">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0-2 points: Unable to accurately identify the core symptoms and signs of the case, no focus on medical history collection, and failure to pay attention to general practice-related medical history (such as family history, lifestyle, community environment); 3-4 points: Able to identify main symptoms and signs, basically complete medical history collection, initially pay attention to general practice-related medical history, with a small number of omissions; 5-6 points: Able to accurately identify core symptoms and signs, comprehensive and detailed medical history collection, focus on general practice-specific medical history (lifestyle, chronic disease history, community diagnosis and treatment history), consistent with the primary care clinical scenario.</w:t>
            </w:r>
          </w:p>
        </w:tc>
        <w:tc>
          <w:tcPr>
            <w:tcW w:w="850" w:type="dxa"/>
            <w:tcBorders>
              <w:top w:val="single" w:color="auto" w:sz="4" w:space="0"/>
            </w:tcBorders>
            <w:tcMar>
              <w:top w:w="60" w:type="dxa"/>
              <w:left w:w="120" w:type="dxa"/>
              <w:bottom w:w="30" w:type="dxa"/>
              <w:right w:w="120" w:type="dxa"/>
            </w:tcMar>
            <w:vAlign w:val="center"/>
          </w:tcPr>
          <w:p w14:paraId="0ECF56AE">
            <w:pPr>
              <w:snapToGrid w:val="0"/>
              <w:spacing w:before="120" w:after="120" w:line="240" w:lineRule="auto"/>
              <w:ind w:left="0" w:leftChars="0" w:right="0" w:rightChars="0" w:firstLine="0" w:firstLineChars="0"/>
              <w:jc w:val="center"/>
              <w:rPr>
                <w:rFonts w:ascii="Arial" w:eastAsia="等线"/>
                <w:sz w:val="22"/>
              </w:rPr>
            </w:pPr>
          </w:p>
        </w:tc>
        <w:tc>
          <w:tcPr>
            <w:tcW w:w="1648" w:type="dxa"/>
            <w:tcBorders>
              <w:top w:val="single" w:color="auto" w:sz="4" w:space="0"/>
            </w:tcBorders>
            <w:tcMar>
              <w:top w:w="60" w:type="dxa"/>
              <w:left w:w="120" w:type="dxa"/>
              <w:bottom w:w="30" w:type="dxa"/>
              <w:right w:w="120" w:type="dxa"/>
            </w:tcMar>
            <w:vAlign w:val="center"/>
          </w:tcPr>
          <w:p w14:paraId="73C33566">
            <w:pPr>
              <w:snapToGrid w:val="0"/>
              <w:spacing w:before="120" w:after="120" w:line="240" w:lineRule="auto"/>
              <w:ind w:left="0" w:leftChars="0" w:right="0" w:rightChars="0" w:firstLine="0" w:firstLineChars="0"/>
              <w:jc w:val="center"/>
              <w:rPr>
                <w:rFonts w:ascii="Arial" w:eastAsia="等线"/>
                <w:sz w:val="22"/>
              </w:rPr>
            </w:pPr>
          </w:p>
        </w:tc>
      </w:tr>
      <w:tr w14:paraId="28CC26F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734" w:type="dxa"/>
            <w:tcMar>
              <w:top w:w="60" w:type="dxa"/>
              <w:left w:w="120" w:type="dxa"/>
              <w:bottom w:w="30" w:type="dxa"/>
              <w:right w:w="120" w:type="dxa"/>
            </w:tcMar>
            <w:vAlign w:val="center"/>
          </w:tcPr>
          <w:p w14:paraId="015C6663">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II. Diagnostic Thinking (6 points)</w:t>
            </w:r>
            <w:r>
              <w:rPr>
                <w:rFonts w:ascii="Arial" w:hAnsi="Arial" w:eastAsia="等线" w:cs="Arial"/>
                <w:sz w:val="22"/>
              </w:rPr>
              <w:t xml:space="preserve"> (Core: Differential diagnosis, etiological analysis, consistent with general practice diagnosis and treatment logic)</w:t>
            </w:r>
          </w:p>
        </w:tc>
        <w:tc>
          <w:tcPr>
            <w:tcW w:w="3289" w:type="dxa"/>
            <w:tcMar>
              <w:top w:w="60" w:type="dxa"/>
              <w:left w:w="120" w:type="dxa"/>
              <w:bottom w:w="30" w:type="dxa"/>
              <w:right w:w="120" w:type="dxa"/>
            </w:tcMar>
            <w:vAlign w:val="center"/>
          </w:tcPr>
          <w:p w14:paraId="4C5EDC57">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0-2 points: No clear diagnostic thinking, confused differential diagnosis, failure to combine the characteristics of common and frequently occurring diseases in general practice, and incorrect etiological analysis; 3-4 points: Basically clear diagnostic thinking, able to list main differential diagnoses, basically reasonable etiological analysis, and initially combined with general practice diagnosis and treatment logic; 5-6 points: Rigorous diagnostic thinking, comprehensive and targeted differential diagnosis (prioritizing common and frequently occurring diseases in primary care), etiological analysis combined with general practice characteristics (such as comorbidities, lifestyle impacts), and coherent logic.</w:t>
            </w:r>
          </w:p>
        </w:tc>
        <w:tc>
          <w:tcPr>
            <w:tcW w:w="850" w:type="dxa"/>
            <w:tcMar>
              <w:top w:w="60" w:type="dxa"/>
              <w:left w:w="120" w:type="dxa"/>
              <w:bottom w:w="30" w:type="dxa"/>
              <w:right w:w="120" w:type="dxa"/>
            </w:tcMar>
            <w:vAlign w:val="center"/>
          </w:tcPr>
          <w:p w14:paraId="6C5F9A27">
            <w:pPr>
              <w:snapToGrid w:val="0"/>
              <w:spacing w:before="120" w:after="120" w:line="240" w:lineRule="auto"/>
              <w:ind w:left="0" w:leftChars="0" w:right="0" w:rightChars="0" w:firstLine="0" w:firstLineChars="0"/>
              <w:jc w:val="center"/>
              <w:rPr>
                <w:rFonts w:ascii="Arial" w:eastAsia="等线"/>
                <w:sz w:val="22"/>
              </w:rPr>
            </w:pPr>
          </w:p>
        </w:tc>
        <w:tc>
          <w:tcPr>
            <w:tcW w:w="1648" w:type="dxa"/>
            <w:tcMar>
              <w:top w:w="60" w:type="dxa"/>
              <w:left w:w="120" w:type="dxa"/>
              <w:bottom w:w="30" w:type="dxa"/>
              <w:right w:w="120" w:type="dxa"/>
            </w:tcMar>
            <w:vAlign w:val="center"/>
          </w:tcPr>
          <w:p w14:paraId="23D54DAA">
            <w:pPr>
              <w:snapToGrid w:val="0"/>
              <w:spacing w:before="120" w:after="120" w:line="240" w:lineRule="auto"/>
              <w:ind w:left="0" w:leftChars="0" w:right="0" w:rightChars="0" w:firstLine="0" w:firstLineChars="0"/>
              <w:jc w:val="center"/>
              <w:rPr>
                <w:rFonts w:ascii="Arial" w:eastAsia="等线"/>
                <w:sz w:val="22"/>
              </w:rPr>
            </w:pPr>
          </w:p>
        </w:tc>
      </w:tr>
      <w:tr w14:paraId="2D42949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734" w:type="dxa"/>
            <w:tcMar>
              <w:top w:w="60" w:type="dxa"/>
              <w:left w:w="120" w:type="dxa"/>
              <w:bottom w:w="30" w:type="dxa"/>
              <w:right w:w="120" w:type="dxa"/>
            </w:tcMar>
            <w:vAlign w:val="center"/>
          </w:tcPr>
          <w:p w14:paraId="6A85BB2D">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III. Treatment Plan (6 points)</w:t>
            </w:r>
            <w:r>
              <w:rPr>
                <w:rFonts w:ascii="Arial" w:hAnsi="Arial" w:eastAsia="等线" w:cs="Arial"/>
                <w:sz w:val="22"/>
              </w:rPr>
              <w:t xml:space="preserve"> (Core: Individualization, safety, economy, consistent with primary care diagnosis and treatment conditions)</w:t>
            </w:r>
          </w:p>
        </w:tc>
        <w:tc>
          <w:tcPr>
            <w:tcW w:w="3289" w:type="dxa"/>
            <w:tcMar>
              <w:top w:w="60" w:type="dxa"/>
              <w:left w:w="120" w:type="dxa"/>
              <w:bottom w:w="30" w:type="dxa"/>
              <w:right w:w="120" w:type="dxa"/>
            </w:tcMar>
            <w:vAlign w:val="center"/>
          </w:tcPr>
          <w:p w14:paraId="3841DF65">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0-2 points: Unreasonable treatment plan, failure to consider the patient's individual conditions (such as age, underlying diseases), inconsistent with primary care diagnosis and treatment conditions, and potential safety hazards; 3-4 points: Basically reasonable treatment plan, able to consider some individual conditions, consistent with primary care diagnosis and treatment conditions, basically standardized medication, with a small amount of room for optimization; 5-6 points: Individualized treatment plan, consistent with primary care diagnosis and treatment conditions, taking into account the principles of safety, effectiveness and economy, standardized medication, combined with lifestyle intervention, and consistent with the general practice comprehensive treatment concept.</w:t>
            </w:r>
          </w:p>
        </w:tc>
        <w:tc>
          <w:tcPr>
            <w:tcW w:w="850" w:type="dxa"/>
            <w:tcMar>
              <w:top w:w="60" w:type="dxa"/>
              <w:left w:w="120" w:type="dxa"/>
              <w:bottom w:w="30" w:type="dxa"/>
              <w:right w:w="120" w:type="dxa"/>
            </w:tcMar>
            <w:vAlign w:val="center"/>
          </w:tcPr>
          <w:p w14:paraId="3BAEB8A7">
            <w:pPr>
              <w:snapToGrid w:val="0"/>
              <w:spacing w:before="120" w:after="120" w:line="240" w:lineRule="auto"/>
              <w:ind w:left="0" w:leftChars="0" w:right="0" w:rightChars="0" w:firstLine="0" w:firstLineChars="0"/>
              <w:jc w:val="center"/>
              <w:rPr>
                <w:rFonts w:ascii="Arial" w:eastAsia="等线"/>
                <w:sz w:val="22"/>
              </w:rPr>
            </w:pPr>
          </w:p>
        </w:tc>
        <w:tc>
          <w:tcPr>
            <w:tcW w:w="1648" w:type="dxa"/>
            <w:tcMar>
              <w:top w:w="60" w:type="dxa"/>
              <w:left w:w="120" w:type="dxa"/>
              <w:bottom w:w="30" w:type="dxa"/>
              <w:right w:w="120" w:type="dxa"/>
            </w:tcMar>
            <w:vAlign w:val="center"/>
          </w:tcPr>
          <w:p w14:paraId="1A9FC460">
            <w:pPr>
              <w:snapToGrid w:val="0"/>
              <w:spacing w:before="120" w:after="120" w:line="240" w:lineRule="auto"/>
              <w:ind w:left="0" w:leftChars="0" w:right="0" w:rightChars="0" w:firstLine="0" w:firstLineChars="0"/>
              <w:jc w:val="center"/>
              <w:rPr>
                <w:rFonts w:ascii="Arial" w:eastAsia="等线"/>
                <w:sz w:val="22"/>
              </w:rPr>
            </w:pPr>
          </w:p>
        </w:tc>
      </w:tr>
      <w:tr w14:paraId="1708051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734" w:type="dxa"/>
            <w:tcMar>
              <w:top w:w="60" w:type="dxa"/>
              <w:left w:w="120" w:type="dxa"/>
              <w:bottom w:w="30" w:type="dxa"/>
              <w:right w:w="120" w:type="dxa"/>
            </w:tcMar>
            <w:vAlign w:val="center"/>
          </w:tcPr>
          <w:p w14:paraId="781BB7CA">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IV. Chronic Disease Management (6 points)</w:t>
            </w:r>
            <w:r>
              <w:rPr>
                <w:rFonts w:ascii="Arial" w:hAnsi="Arial" w:eastAsia="等线" w:cs="Arial"/>
                <w:sz w:val="22"/>
              </w:rPr>
              <w:t xml:space="preserve"> (Core: Continuous management, monitoring, health education, consistent with general practice chronic disease management requirements)</w:t>
            </w:r>
          </w:p>
        </w:tc>
        <w:tc>
          <w:tcPr>
            <w:tcW w:w="3289" w:type="dxa"/>
            <w:tcMar>
              <w:top w:w="60" w:type="dxa"/>
              <w:left w:w="120" w:type="dxa"/>
              <w:bottom w:w="30" w:type="dxa"/>
              <w:right w:w="120" w:type="dxa"/>
            </w:tcMar>
            <w:vAlign w:val="center"/>
          </w:tcPr>
          <w:p w14:paraId="0CF6E93C">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0-2 points: No mention of chronic disease management-related content, or confused management thinking, failure to pay attention to chronic disease monitoring and compliance improvement; 3-4 points: Basic chronic disease management thinking, able to mention medication guidance and regular monitoring, simple health education content, lack of pertinence; 5-6 points: Improved chronic disease management thinking, including standardized medication, regular follow-up monitoring, lifestyle intervention, health education, focusing on the improvement of patient compliance, and consistent with general practice continuous chronic disease management requirements.</w:t>
            </w:r>
          </w:p>
        </w:tc>
        <w:tc>
          <w:tcPr>
            <w:tcW w:w="850" w:type="dxa"/>
            <w:tcMar>
              <w:top w:w="60" w:type="dxa"/>
              <w:left w:w="120" w:type="dxa"/>
              <w:bottom w:w="30" w:type="dxa"/>
              <w:right w:w="120" w:type="dxa"/>
            </w:tcMar>
            <w:vAlign w:val="center"/>
          </w:tcPr>
          <w:p w14:paraId="7DB1AF75">
            <w:pPr>
              <w:snapToGrid w:val="0"/>
              <w:spacing w:before="120" w:after="120" w:line="240" w:lineRule="auto"/>
              <w:ind w:left="0" w:leftChars="0" w:right="0" w:rightChars="0" w:firstLine="0" w:firstLineChars="0"/>
              <w:jc w:val="center"/>
              <w:rPr>
                <w:rFonts w:ascii="Arial" w:eastAsia="等线"/>
                <w:sz w:val="22"/>
              </w:rPr>
            </w:pPr>
          </w:p>
        </w:tc>
        <w:tc>
          <w:tcPr>
            <w:tcW w:w="1648" w:type="dxa"/>
            <w:tcMar>
              <w:top w:w="60" w:type="dxa"/>
              <w:left w:w="120" w:type="dxa"/>
              <w:bottom w:w="30" w:type="dxa"/>
              <w:right w:w="120" w:type="dxa"/>
            </w:tcMar>
            <w:vAlign w:val="center"/>
          </w:tcPr>
          <w:p w14:paraId="5280296F">
            <w:pPr>
              <w:snapToGrid w:val="0"/>
              <w:spacing w:before="120" w:after="120" w:line="240" w:lineRule="auto"/>
              <w:ind w:left="0" w:leftChars="0" w:right="0" w:rightChars="0" w:firstLine="0" w:firstLineChars="0"/>
              <w:jc w:val="center"/>
              <w:rPr>
                <w:rFonts w:ascii="Arial" w:eastAsia="等线"/>
                <w:sz w:val="22"/>
              </w:rPr>
            </w:pPr>
          </w:p>
        </w:tc>
      </w:tr>
      <w:tr w14:paraId="2A443A4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734" w:type="dxa"/>
            <w:tcBorders>
              <w:bottom w:val="single" w:color="auto" w:sz="4" w:space="0"/>
            </w:tcBorders>
            <w:tcMar>
              <w:top w:w="60" w:type="dxa"/>
              <w:left w:w="120" w:type="dxa"/>
              <w:bottom w:w="30" w:type="dxa"/>
              <w:right w:w="120" w:type="dxa"/>
            </w:tcMar>
            <w:vAlign w:val="center"/>
          </w:tcPr>
          <w:p w14:paraId="6E2074C6">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V. Referral Decision (6 points)</w:t>
            </w:r>
            <w:r>
              <w:rPr>
                <w:rFonts w:ascii="Arial" w:hAnsi="Arial" w:eastAsia="等线" w:cs="Arial"/>
                <w:sz w:val="22"/>
              </w:rPr>
              <w:t xml:space="preserve"> (Core: Judgment of referral indications, referral standardization, consistent with primary care referral principles)</w:t>
            </w:r>
          </w:p>
        </w:tc>
        <w:tc>
          <w:tcPr>
            <w:tcW w:w="3289" w:type="dxa"/>
            <w:tcBorders>
              <w:bottom w:val="single" w:color="auto" w:sz="4" w:space="0"/>
            </w:tcBorders>
            <w:tcMar>
              <w:top w:w="60" w:type="dxa"/>
              <w:left w:w="120" w:type="dxa"/>
              <w:bottom w:w="30" w:type="dxa"/>
              <w:right w:w="120" w:type="dxa"/>
            </w:tcMar>
            <w:vAlign w:val="center"/>
          </w:tcPr>
          <w:p w14:paraId="78AC3829">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0-2 points: Unable to accurately judge referral indications, incorrect referral decision, and failure to mention referral-related precautions; 3-4 points: Able to basically judge referral indications, basically reasonable referral decision, simply mention referral precautions, with a small number of omissions; 5-6 points: Able to accurately judge referral indications, scientific and reasonable referral decision, strictly follow primary care referral principles, clarify referral records, connection processes and precautions, and consistent with general practice referral standards.</w:t>
            </w:r>
          </w:p>
        </w:tc>
        <w:tc>
          <w:tcPr>
            <w:tcW w:w="850" w:type="dxa"/>
            <w:tcBorders>
              <w:bottom w:val="single" w:color="auto" w:sz="4" w:space="0"/>
            </w:tcBorders>
            <w:tcMar>
              <w:top w:w="60" w:type="dxa"/>
              <w:left w:w="120" w:type="dxa"/>
              <w:bottom w:w="30" w:type="dxa"/>
              <w:right w:w="120" w:type="dxa"/>
            </w:tcMar>
            <w:vAlign w:val="center"/>
          </w:tcPr>
          <w:p w14:paraId="1FAD5ADD">
            <w:pPr>
              <w:snapToGrid w:val="0"/>
              <w:spacing w:before="120" w:after="120" w:line="240" w:lineRule="auto"/>
              <w:ind w:left="0" w:leftChars="0" w:right="0" w:rightChars="0" w:firstLine="0" w:firstLineChars="0"/>
              <w:jc w:val="center"/>
              <w:rPr>
                <w:rFonts w:ascii="Arial" w:eastAsia="等线"/>
                <w:sz w:val="22"/>
              </w:rPr>
            </w:pPr>
          </w:p>
        </w:tc>
        <w:tc>
          <w:tcPr>
            <w:tcW w:w="1648" w:type="dxa"/>
            <w:tcBorders>
              <w:bottom w:val="single" w:color="auto" w:sz="4" w:space="0"/>
            </w:tcBorders>
            <w:tcMar>
              <w:top w:w="60" w:type="dxa"/>
              <w:left w:w="120" w:type="dxa"/>
              <w:bottom w:w="30" w:type="dxa"/>
              <w:right w:w="120" w:type="dxa"/>
            </w:tcMar>
            <w:vAlign w:val="center"/>
          </w:tcPr>
          <w:p w14:paraId="3343AF57">
            <w:pPr>
              <w:snapToGrid w:val="0"/>
              <w:spacing w:before="120" w:after="120" w:line="240" w:lineRule="auto"/>
              <w:ind w:left="0" w:leftChars="0" w:right="0" w:rightChars="0" w:firstLine="0" w:firstLineChars="0"/>
              <w:jc w:val="center"/>
              <w:rPr>
                <w:rFonts w:ascii="Arial" w:eastAsia="等线"/>
                <w:sz w:val="22"/>
              </w:rPr>
            </w:pPr>
          </w:p>
        </w:tc>
      </w:tr>
    </w:tbl>
    <w:p w14:paraId="7B63E89F">
      <w:pPr>
        <w:spacing w:before="120" w:after="120" w:line="288" w:lineRule="auto"/>
        <w:ind w:left="0"/>
        <w:jc w:val="left"/>
        <w:rPr>
          <w:rFonts w:ascii="Arial" w:hAnsi="Arial" w:eastAsia="等线" w:cs="Arial"/>
          <w:b/>
          <w:sz w:val="22"/>
        </w:rPr>
      </w:pPr>
    </w:p>
    <w:p w14:paraId="10F8FB41">
      <w:pPr>
        <w:spacing w:before="120" w:after="120" w:line="288" w:lineRule="auto"/>
        <w:ind w:left="0"/>
        <w:jc w:val="left"/>
      </w:pPr>
      <w:bookmarkStart w:id="0" w:name="_GoBack"/>
      <w:bookmarkEnd w:id="0"/>
      <w:r>
        <w:rPr>
          <w:rFonts w:ascii="Arial" w:hAnsi="Arial" w:eastAsia="等线" w:cs="Arial"/>
          <w:b/>
          <w:sz w:val="22"/>
        </w:rPr>
        <w:t>Total Score Statistics</w:t>
      </w:r>
      <w:r>
        <w:rPr>
          <w:rFonts w:ascii="Arial" w:hAnsi="Arial" w:eastAsia="等线" w:cs="Arial"/>
          <w:sz w:val="22"/>
        </w:rPr>
        <w:t>: __________ points (Full score: 30 points)</w:t>
      </w:r>
    </w:p>
    <w:p w14:paraId="6BD81B63">
      <w:pPr>
        <w:spacing w:before="120" w:after="120" w:line="288" w:lineRule="auto"/>
        <w:ind w:left="0"/>
        <w:jc w:val="left"/>
      </w:pPr>
      <w:r>
        <w:rPr>
          <w:rFonts w:ascii="Arial" w:hAnsi="Arial" w:eastAsia="等线" w:cs="Arial"/>
          <w:b/>
          <w:sz w:val="22"/>
        </w:rPr>
        <w:t>Ability Level Judgment</w:t>
      </w:r>
      <w:r>
        <w:rPr>
          <w:rFonts w:ascii="Arial" w:hAnsi="Arial" w:eastAsia="等线" w:cs="Arial"/>
          <w:sz w:val="22"/>
        </w:rPr>
        <w:t>: 0-10 points (Weak); 11-20 points (Medium); 21-30 points (Excellent)</w:t>
      </w:r>
    </w:p>
    <w:p w14:paraId="07749F56">
      <w:pPr>
        <w:spacing w:before="120" w:after="120" w:line="288" w:lineRule="auto"/>
        <w:ind w:left="0"/>
        <w:jc w:val="left"/>
      </w:pPr>
      <w:r>
        <w:rPr>
          <w:rFonts w:ascii="Arial" w:hAnsi="Arial" w:eastAsia="等线" w:cs="Arial"/>
          <w:b/>
          <w:sz w:val="22"/>
        </w:rPr>
        <w:t>Rater's Signature</w:t>
      </w:r>
      <w:r>
        <w:rPr>
          <w:rFonts w:ascii="Arial" w:hAnsi="Arial" w:eastAsia="等线" w:cs="Arial"/>
          <w:sz w:val="22"/>
        </w:rPr>
        <w:t xml:space="preserve">: __________  </w:t>
      </w:r>
      <w:r>
        <w:rPr>
          <w:rFonts w:ascii="Arial" w:hAnsi="Arial" w:eastAsia="等线" w:cs="Arial"/>
          <w:b/>
          <w:sz w:val="22"/>
        </w:rPr>
        <w:t>Scoring Date</w:t>
      </w:r>
      <w:r>
        <w:rPr>
          <w:rFonts w:ascii="Arial" w:hAnsi="Arial" w:eastAsia="等线" w:cs="Arial"/>
          <w:sz w:val="22"/>
        </w:rPr>
        <w:t>: __________</w:t>
      </w:r>
    </w:p>
    <w:p w14:paraId="664E2FA0">
      <w:pPr>
        <w:spacing w:before="120" w:after="120" w:line="288" w:lineRule="auto"/>
        <w:ind w:left="0"/>
        <w:jc w:val="left"/>
      </w:pPr>
    </w:p>
    <w:p w14:paraId="3FA95CAF">
      <w:pPr>
        <w:spacing w:before="120" w:after="120" w:line="288" w:lineRule="auto"/>
        <w:ind w:left="0"/>
        <w:jc w:val="left"/>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1C22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A09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splitPgBreakAndParaMark/>
    <w:compatSetting w:name="compatibilityMode" w:uri="http://schemas.microsoft.com/office/word" w:val="12"/>
  </w:compat>
  <w:rsids>
    <w:rsidRoot w:val="00000000"/>
    <w:rsid w:val="6FF4113B"/>
    <w:rsid w:val="773E2C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765</Words>
  <Characters>5178</Characters>
  <TotalTime>0</TotalTime>
  <ScaleCrop>false</ScaleCrop>
  <LinksUpToDate>false</LinksUpToDate>
  <CharactersWithSpaces>5908</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2026-03-05T03:37:00Z</dcterms:created>
  <dc:creator>Apache POI</dc:creator>
  <cp:lastModifiedBy>邓玮</cp:lastModifiedBy>
  <dcterms:modified xsi:type="dcterms:W3CDTF">2026-03-05T03:38:17Z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eyJoZGlkIjoiYWVmMmQ2YTc3ZjgxMzNiMTc1ZGVmMGU3NTliYTkyYWUiLCJ1c2VySWQiOiIzMjE1NTg5OTUifQ==</vt:lpwstr>
  </property>
  <property fmtid="{D5CDD505-2E9C-101B-9397-08002B2CF9AE}" pid="3" name="KSOProductBuildVer">
    <vt:lpwstr>2052-12.1.0.24657</vt:lpwstr>
  </property>
  <property fmtid="{D5CDD505-2E9C-101B-9397-08002B2CF9AE}" pid="4" name="ICV">
    <vt:lpwstr>DCFC30F30D954A4F8DE434D2C58F4787_12</vt:lpwstr>
  </property>
</Properties>
</file>